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D" w:rsidRDefault="0061518D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kern w:val="28"/>
          <w:sz w:val="36"/>
          <w:szCs w:val="36"/>
        </w:rPr>
      </w:pPr>
    </w:p>
    <w:p w:rsidR="00F34DBE" w:rsidRDefault="00BC7664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kern w:val="28"/>
          <w:sz w:val="36"/>
          <w:szCs w:val="36"/>
        </w:rPr>
      </w:pPr>
      <w:r w:rsidRPr="00BC7664">
        <w:rPr>
          <w:rFonts w:ascii="方正小标宋简体" w:eastAsia="方正小标宋简体" w:hAnsi="黑体" w:hint="eastAsia"/>
          <w:kern w:val="28"/>
          <w:sz w:val="36"/>
          <w:szCs w:val="36"/>
        </w:rPr>
        <w:t>恶性淋巴瘤中医临床路径</w:t>
      </w:r>
    </w:p>
    <w:p w:rsidR="00F34DBE" w:rsidRDefault="00BC7664" w:rsidP="00F23069">
      <w:pPr>
        <w:widowControl/>
        <w:adjustRightInd w:val="0"/>
        <w:snapToGrid w:val="0"/>
        <w:spacing w:beforeLines="50" w:line="400" w:lineRule="exact"/>
        <w:jc w:val="center"/>
        <w:rPr>
          <w:rFonts w:ascii="方正小标宋简体" w:eastAsia="方正小标宋简体" w:hAnsi="黑体"/>
          <w:kern w:val="28"/>
          <w:sz w:val="36"/>
          <w:szCs w:val="36"/>
        </w:rPr>
      </w:pPr>
      <w:r w:rsidRPr="00BC7664">
        <w:rPr>
          <w:rFonts w:ascii="方正小标宋简体" w:eastAsia="方正小标宋简体" w:hAnsi="黑体" w:hint="eastAsia"/>
          <w:kern w:val="28"/>
          <w:sz w:val="36"/>
          <w:szCs w:val="36"/>
        </w:rPr>
        <w:t>（</w:t>
      </w:r>
      <w:r w:rsidRPr="00BC7664">
        <w:rPr>
          <w:rFonts w:ascii="方正小标宋简体" w:eastAsia="方正小标宋简体" w:hAnsi="黑体"/>
          <w:kern w:val="28"/>
          <w:sz w:val="36"/>
          <w:szCs w:val="36"/>
        </w:rPr>
        <w:t>2018</w:t>
      </w:r>
      <w:r w:rsidRPr="00BC7664">
        <w:rPr>
          <w:rFonts w:ascii="方正小标宋简体" w:eastAsia="方正小标宋简体" w:hAnsi="黑体" w:hint="eastAsia"/>
          <w:kern w:val="28"/>
          <w:sz w:val="36"/>
          <w:szCs w:val="36"/>
        </w:rPr>
        <w:t>年版）</w:t>
      </w:r>
    </w:p>
    <w:p w:rsidR="0061518D" w:rsidRDefault="0061518D" w:rsidP="00F23069">
      <w:pPr>
        <w:widowControl/>
        <w:adjustRightInd w:val="0"/>
        <w:snapToGrid w:val="0"/>
        <w:spacing w:beforeLines="50" w:line="400" w:lineRule="exact"/>
        <w:jc w:val="center"/>
        <w:rPr>
          <w:rFonts w:ascii="方正小标宋简体" w:eastAsia="方正小标宋简体" w:hAnsi="黑体"/>
          <w:kern w:val="28"/>
          <w:sz w:val="36"/>
          <w:szCs w:val="36"/>
        </w:rPr>
      </w:pPr>
    </w:p>
    <w:p w:rsidR="00145FC1" w:rsidRDefault="00340AAD" w:rsidP="0061518D">
      <w:pPr>
        <w:adjustRightInd w:val="0"/>
        <w:snapToGrid w:val="0"/>
        <w:spacing w:line="400" w:lineRule="exact"/>
        <w:ind w:firstLineChars="225" w:firstLine="540"/>
        <w:rPr>
          <w:sz w:val="24"/>
        </w:rPr>
      </w:pPr>
      <w:r>
        <w:rPr>
          <w:sz w:val="24"/>
        </w:rPr>
        <w:t>路径说明：</w:t>
      </w:r>
      <w:r>
        <w:rPr>
          <w:rFonts w:hint="eastAsia"/>
          <w:sz w:val="24"/>
        </w:rPr>
        <w:t>本路径适合于</w:t>
      </w:r>
      <w:r>
        <w:rPr>
          <w:rFonts w:ascii="宋体" w:hAnsi="宋体"/>
          <w:sz w:val="24"/>
        </w:rPr>
        <w:t>惰性淋巴瘤（如慢淋/小B细胞淋巴瘤、II级以下滤泡性淋巴瘤等）或化疗后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侵袭性淋巴瘤</w:t>
      </w:r>
      <w:r>
        <w:rPr>
          <w:rFonts w:ascii="宋体" w:hAnsi="宋体" w:hint="eastAsia"/>
          <w:sz w:val="24"/>
        </w:rPr>
        <w:t>的住院患者</w:t>
      </w:r>
      <w:r>
        <w:rPr>
          <w:sz w:val="24"/>
        </w:rPr>
        <w:t>。</w:t>
      </w:r>
    </w:p>
    <w:p w:rsidR="00145FC1" w:rsidRPr="00340AAD" w:rsidRDefault="00BC7664" w:rsidP="0061518D">
      <w:pPr>
        <w:adjustRightInd w:val="0"/>
        <w:snapToGrid w:val="0"/>
        <w:spacing w:line="400" w:lineRule="exact"/>
        <w:ind w:firstLineChars="225" w:firstLine="540"/>
        <w:rPr>
          <w:rFonts w:ascii="黑体" w:eastAsia="黑体" w:hAnsi="黑体"/>
          <w:sz w:val="24"/>
        </w:rPr>
      </w:pPr>
      <w:r w:rsidRPr="00BC7664">
        <w:rPr>
          <w:rFonts w:ascii="黑体" w:eastAsia="黑体" w:hAnsi="黑体" w:hint="eastAsia"/>
          <w:sz w:val="24"/>
        </w:rPr>
        <w:t>一、标准住院流程</w:t>
      </w:r>
    </w:p>
    <w:p w:rsidR="00145FC1" w:rsidRDefault="00340AAD" w:rsidP="00F23069">
      <w:pPr>
        <w:adjustRightInd w:val="0"/>
        <w:snapToGrid w:val="0"/>
        <w:spacing w:line="400" w:lineRule="exact"/>
        <w:ind w:firstLineChars="225" w:firstLine="5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（一）适用对象</w:t>
      </w:r>
    </w:p>
    <w:p w:rsidR="00145FC1" w:rsidRDefault="00966C04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第一</w:t>
      </w:r>
      <w:r>
        <w:rPr>
          <w:rFonts w:asciiTheme="majorEastAsia" w:eastAsiaTheme="majorEastAsia" w:hAnsiTheme="majorEastAsia"/>
          <w:sz w:val="24"/>
        </w:rPr>
        <w:t>诊断为</w:t>
      </w:r>
      <w:r>
        <w:rPr>
          <w:rFonts w:asciiTheme="majorEastAsia" w:eastAsiaTheme="majorEastAsia" w:hAnsiTheme="majorEastAsia" w:hint="eastAsia"/>
          <w:sz w:val="24"/>
        </w:rPr>
        <w:t>恶</w:t>
      </w:r>
      <w:r>
        <w:rPr>
          <w:rFonts w:asciiTheme="majorEastAsia" w:eastAsiaTheme="majorEastAsia" w:hAnsiTheme="majorEastAsia"/>
          <w:sz w:val="24"/>
        </w:rPr>
        <w:t>性淋巴瘤</w:t>
      </w:r>
      <w:r w:rsidR="00340AAD">
        <w:rPr>
          <w:rFonts w:asciiTheme="majorEastAsia" w:eastAsiaTheme="majorEastAsia" w:hAnsiTheme="majorEastAsia"/>
          <w:sz w:val="24"/>
        </w:rPr>
        <w:t>（慢淋/小B细胞淋巴瘤、II级以下滤泡性淋巴瘤等，ICD-10编码</w:t>
      </w:r>
      <w:r w:rsidR="00340AAD">
        <w:rPr>
          <w:rFonts w:asciiTheme="majorEastAsia" w:eastAsiaTheme="majorEastAsia" w:hAnsiTheme="majorEastAsia" w:hint="eastAsia"/>
          <w:sz w:val="24"/>
        </w:rPr>
        <w:t>：C</w:t>
      </w:r>
      <w:r w:rsidR="00340AAD">
        <w:rPr>
          <w:rFonts w:asciiTheme="majorEastAsia" w:eastAsiaTheme="majorEastAsia" w:hAnsiTheme="majorEastAsia"/>
          <w:sz w:val="24"/>
        </w:rPr>
        <w:t>82）或</w:t>
      </w:r>
      <w:r w:rsidR="00340AAD">
        <w:rPr>
          <w:rFonts w:ascii="宋体" w:hAnsi="宋体"/>
          <w:sz w:val="24"/>
        </w:rPr>
        <w:t>化疗后</w:t>
      </w:r>
      <w:r w:rsidR="00340AAD">
        <w:rPr>
          <w:rFonts w:ascii="宋体" w:hAnsi="宋体" w:hint="eastAsia"/>
          <w:sz w:val="24"/>
        </w:rPr>
        <w:t>的</w:t>
      </w:r>
      <w:r w:rsidR="00340AAD">
        <w:rPr>
          <w:rFonts w:ascii="宋体" w:hAnsi="宋体"/>
          <w:sz w:val="24"/>
        </w:rPr>
        <w:t>侵袭性淋巴瘤</w:t>
      </w:r>
      <w:r w:rsidR="00340AAD">
        <w:rPr>
          <w:rFonts w:asciiTheme="majorEastAsia" w:eastAsiaTheme="majorEastAsia" w:hAnsiTheme="major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ICD-10编码</w:t>
      </w:r>
      <w:r>
        <w:rPr>
          <w:rFonts w:asciiTheme="majorEastAsia" w:eastAsiaTheme="majorEastAsia" w:hAnsiTheme="majorEastAsia" w:hint="eastAsia"/>
          <w:sz w:val="24"/>
        </w:rPr>
        <w:t>：C</w:t>
      </w:r>
      <w:r>
        <w:rPr>
          <w:rFonts w:asciiTheme="majorEastAsia" w:eastAsiaTheme="majorEastAsia" w:hAnsiTheme="majorEastAsia"/>
          <w:sz w:val="24"/>
        </w:rPr>
        <w:t>82</w:t>
      </w:r>
      <w:r w:rsidR="00340AAD">
        <w:rPr>
          <w:rFonts w:asciiTheme="majorEastAsia" w:eastAsiaTheme="majorEastAsia" w:hAnsiTheme="majorEastAsia"/>
          <w:sz w:val="24"/>
        </w:rPr>
        <w:t>）。</w:t>
      </w:r>
    </w:p>
    <w:p w:rsidR="00145FC1" w:rsidRDefault="00340AAD" w:rsidP="00F23069">
      <w:pPr>
        <w:adjustRightInd w:val="0"/>
        <w:snapToGrid w:val="0"/>
        <w:spacing w:line="400" w:lineRule="exact"/>
        <w:ind w:firstLineChars="225" w:firstLine="5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（二）</w:t>
      </w:r>
      <w:r>
        <w:rPr>
          <w:rFonts w:asciiTheme="majorEastAsia" w:eastAsiaTheme="majorEastAsia" w:hAnsiTheme="majorEastAsia"/>
          <w:sz w:val="24"/>
        </w:rPr>
        <w:t>诊断依据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1.疾病诊断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西医诊断</w:t>
      </w:r>
      <w:r>
        <w:rPr>
          <w:rFonts w:asciiTheme="majorEastAsia" w:eastAsiaTheme="majorEastAsia" w:hAnsiTheme="majorEastAsia" w:hint="eastAsia"/>
          <w:sz w:val="24"/>
        </w:rPr>
        <w:t>标准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="宋体" w:hAnsi="宋体" w:hint="eastAsia"/>
          <w:sz w:val="24"/>
        </w:rPr>
        <w:t>参照</w:t>
      </w:r>
      <w:r>
        <w:rPr>
          <w:rFonts w:ascii="宋体" w:hAnsi="宋体" w:hint="eastAsia"/>
          <w:color w:val="000000" w:themeColor="text1"/>
          <w:sz w:val="24"/>
        </w:rPr>
        <w:t>《血液病诊断及疗效标准》（第四版</w:t>
      </w:r>
      <w:r>
        <w:rPr>
          <w:rFonts w:ascii="宋体" w:hAnsi="宋体"/>
          <w:color w:val="000000" w:themeColor="text1"/>
          <w:sz w:val="24"/>
        </w:rPr>
        <w:t>）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sz w:val="24"/>
        </w:rPr>
        <w:t>《中国恶性淋巴瘤诊疗规范</w:t>
      </w:r>
      <w:r>
        <w:rPr>
          <w:rFonts w:hint="eastAsia"/>
          <w:kern w:val="28"/>
          <w:sz w:val="24"/>
        </w:rPr>
        <w:t>》（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015</w:t>
      </w:r>
      <w:r>
        <w:rPr>
          <w:rFonts w:ascii="宋体" w:hAnsi="宋体" w:hint="eastAsia"/>
          <w:sz w:val="24"/>
        </w:rPr>
        <w:t>年版</w:t>
      </w:r>
      <w:r>
        <w:rPr>
          <w:rFonts w:hint="eastAsia"/>
          <w:kern w:val="28"/>
          <w:sz w:val="24"/>
        </w:rPr>
        <w:t>）</w:t>
      </w:r>
      <w:r>
        <w:rPr>
          <w:rFonts w:hint="eastAsia"/>
          <w:kern w:val="28"/>
          <w:sz w:val="24"/>
          <w:vertAlign w:val="superscript"/>
        </w:rPr>
        <w:t>[</w:t>
      </w:r>
      <w:r>
        <w:rPr>
          <w:kern w:val="28"/>
          <w:sz w:val="24"/>
          <w:vertAlign w:val="superscript"/>
        </w:rPr>
        <w:t>1</w:t>
      </w:r>
      <w:r>
        <w:rPr>
          <w:rFonts w:hint="eastAsia"/>
          <w:kern w:val="28"/>
          <w:sz w:val="24"/>
          <w:vertAlign w:val="superscript"/>
        </w:rPr>
        <w:t>-</w:t>
      </w:r>
      <w:r>
        <w:rPr>
          <w:kern w:val="28"/>
          <w:sz w:val="24"/>
          <w:vertAlign w:val="superscript"/>
        </w:rPr>
        <w:t>2]</w:t>
      </w:r>
      <w:r>
        <w:rPr>
          <w:rFonts w:hint="eastAsia"/>
          <w:kern w:val="28"/>
          <w:sz w:val="24"/>
        </w:rPr>
        <w:t>。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:rsidR="00145FC1" w:rsidRDefault="00340AAD" w:rsidP="0061518D">
      <w:pPr>
        <w:pStyle w:val="a3"/>
        <w:adjustRightInd w:val="0"/>
        <w:snapToGrid w:val="0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asciiTheme="majorEastAsia" w:eastAsiaTheme="majorEastAsia" w:hAnsiTheme="majorEastAsia" w:hint="eastAsia"/>
          <w:sz w:val="24"/>
          <w:szCs w:val="24"/>
        </w:rPr>
        <w:t>证候诊断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参照中华中医药学会发布的“</w:t>
      </w:r>
      <w:r>
        <w:rPr>
          <w:rFonts w:ascii="宋体" w:hAnsi="宋体" w:hint="eastAsia"/>
          <w:color w:val="000000"/>
          <w:sz w:val="24"/>
        </w:rPr>
        <w:t>恶性淋巴瘤</w:t>
      </w:r>
      <w:r>
        <w:rPr>
          <w:rFonts w:asciiTheme="majorEastAsia" w:eastAsiaTheme="majorEastAsia" w:hAnsiTheme="majorEastAsia" w:hint="eastAsia"/>
          <w:kern w:val="0"/>
          <w:sz w:val="24"/>
        </w:rPr>
        <w:t>中医诊疗方案（2</w:t>
      </w:r>
      <w:r>
        <w:rPr>
          <w:rFonts w:asciiTheme="majorEastAsia" w:eastAsiaTheme="majorEastAsia" w:hAnsiTheme="majorEastAsia"/>
          <w:kern w:val="0"/>
          <w:sz w:val="24"/>
        </w:rPr>
        <w:t>018</w:t>
      </w:r>
      <w:r>
        <w:rPr>
          <w:rFonts w:asciiTheme="majorEastAsia" w:eastAsiaTheme="majorEastAsia" w:hAnsiTheme="majorEastAsia" w:hint="eastAsia"/>
          <w:kern w:val="0"/>
          <w:sz w:val="24"/>
        </w:rPr>
        <w:t>年版）”</w:t>
      </w:r>
      <w:r>
        <w:rPr>
          <w:rFonts w:ascii="宋体" w:hAnsi="宋体" w:hint="eastAsia"/>
          <w:sz w:val="24"/>
        </w:rPr>
        <w:t>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恶性淋巴瘤</w:t>
      </w:r>
      <w:r>
        <w:rPr>
          <w:rFonts w:asciiTheme="majorEastAsia" w:eastAsiaTheme="majorEastAsia" w:hAnsiTheme="majorEastAsia"/>
          <w:sz w:val="24"/>
        </w:rPr>
        <w:t>临床常见</w:t>
      </w:r>
      <w:r>
        <w:rPr>
          <w:rFonts w:asciiTheme="majorEastAsia" w:eastAsiaTheme="majorEastAsia" w:hAnsiTheme="majorEastAsia" w:hint="eastAsia"/>
          <w:sz w:val="24"/>
        </w:rPr>
        <w:t>证候：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寒痰凝滞证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热毒痰结证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痰瘀互结证</w:t>
      </w:r>
    </w:p>
    <w:p w:rsidR="00145FC1" w:rsidRDefault="00340AAD" w:rsidP="0061518D">
      <w:pPr>
        <w:adjustRightInd w:val="0"/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正虚痰凝证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（三）</w:t>
      </w:r>
      <w:r>
        <w:rPr>
          <w:rFonts w:asciiTheme="majorEastAsia" w:eastAsiaTheme="majorEastAsia" w:hAnsiTheme="majorEastAsia"/>
          <w:sz w:val="24"/>
        </w:rPr>
        <w:t>治疗方案</w:t>
      </w:r>
      <w:r>
        <w:rPr>
          <w:rFonts w:asciiTheme="majorEastAsia" w:eastAsiaTheme="majorEastAsia" w:hAnsiTheme="majorEastAsia" w:hint="eastAsia"/>
          <w:sz w:val="24"/>
        </w:rPr>
        <w:t>的</w:t>
      </w:r>
      <w:r>
        <w:rPr>
          <w:rFonts w:asciiTheme="majorEastAsia" w:eastAsiaTheme="majorEastAsia" w:hAnsiTheme="majorEastAsia"/>
          <w:sz w:val="24"/>
        </w:rPr>
        <w:t>选择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参照中华中医药学会发布的“</w:t>
      </w:r>
      <w:r>
        <w:rPr>
          <w:rFonts w:ascii="宋体" w:hAnsi="宋体" w:hint="eastAsia"/>
          <w:color w:val="000000"/>
          <w:sz w:val="24"/>
        </w:rPr>
        <w:t>恶性淋巴瘤</w:t>
      </w:r>
      <w:r>
        <w:rPr>
          <w:rFonts w:asciiTheme="majorEastAsia" w:eastAsiaTheme="majorEastAsia" w:hAnsiTheme="majorEastAsia" w:hint="eastAsia"/>
          <w:kern w:val="0"/>
          <w:sz w:val="24"/>
        </w:rPr>
        <w:t>中医诊疗方案（2</w:t>
      </w:r>
      <w:r>
        <w:rPr>
          <w:rFonts w:asciiTheme="majorEastAsia" w:eastAsiaTheme="majorEastAsia" w:hAnsiTheme="majorEastAsia"/>
          <w:kern w:val="0"/>
          <w:sz w:val="24"/>
        </w:rPr>
        <w:t>018</w:t>
      </w:r>
      <w:r>
        <w:rPr>
          <w:rFonts w:asciiTheme="majorEastAsia" w:eastAsiaTheme="majorEastAsia" w:hAnsiTheme="majorEastAsia" w:hint="eastAsia"/>
          <w:kern w:val="0"/>
          <w:sz w:val="24"/>
        </w:rPr>
        <w:t>年版）”</w:t>
      </w:r>
      <w:r>
        <w:rPr>
          <w:rFonts w:ascii="宋体" w:hAnsi="宋体" w:hint="eastAsia"/>
          <w:sz w:val="24"/>
        </w:rPr>
        <w:t>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1.诊断明确，第一诊断为恶性</w:t>
      </w:r>
      <w:r>
        <w:rPr>
          <w:rFonts w:asciiTheme="majorEastAsia" w:eastAsiaTheme="majorEastAsia" w:hAnsiTheme="majorEastAsia"/>
          <w:sz w:val="24"/>
        </w:rPr>
        <w:t>淋巴瘤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2.患者适合并接受中医药治疗。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（四）标准住院日为≤2</w:t>
      </w:r>
      <w:r>
        <w:rPr>
          <w:rFonts w:asciiTheme="majorEastAsia" w:eastAsiaTheme="majorEastAsia" w:hAnsiTheme="major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天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（五）进入路径标准</w:t>
      </w:r>
    </w:p>
    <w:p w:rsidR="00145FC1" w:rsidRDefault="00E86596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340AAD">
        <w:rPr>
          <w:rFonts w:asciiTheme="majorEastAsia" w:eastAsiaTheme="majorEastAsia" w:hAnsiTheme="majorEastAsia" w:hint="eastAsia"/>
          <w:sz w:val="24"/>
        </w:rPr>
        <w:t>第一诊断必须符合恶性</w:t>
      </w:r>
      <w:r w:rsidR="00340AAD">
        <w:rPr>
          <w:rFonts w:asciiTheme="majorEastAsia" w:eastAsiaTheme="majorEastAsia" w:hAnsiTheme="majorEastAsia"/>
          <w:sz w:val="24"/>
        </w:rPr>
        <w:t>淋巴瘤</w:t>
      </w:r>
      <w:r w:rsidR="00340AAD">
        <w:rPr>
          <w:rFonts w:asciiTheme="majorEastAsia" w:eastAsiaTheme="majorEastAsia" w:hAnsiTheme="majorEastAsia" w:hint="eastAsia"/>
          <w:sz w:val="24"/>
        </w:rPr>
        <w:t>诊断。</w:t>
      </w:r>
    </w:p>
    <w:p w:rsidR="00145FC1" w:rsidRDefault="00E86596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 w:rsidR="00340AAD">
        <w:rPr>
          <w:rFonts w:asciiTheme="majorEastAsia" w:eastAsiaTheme="majorEastAsia" w:hAnsiTheme="majorEastAsia"/>
          <w:sz w:val="24"/>
        </w:rPr>
        <w:t>惰性淋巴瘤（慢淋/小B细胞淋巴瘤、II级以下滤泡性淋巴瘤等）或</w:t>
      </w:r>
      <w:r w:rsidR="00340AAD">
        <w:rPr>
          <w:rFonts w:asciiTheme="majorEastAsia" w:eastAsiaTheme="majorEastAsia" w:hAnsiTheme="majorEastAsia" w:hint="eastAsia"/>
          <w:sz w:val="24"/>
        </w:rPr>
        <w:t>化疗后的</w:t>
      </w:r>
      <w:r w:rsidR="00340AAD">
        <w:rPr>
          <w:rFonts w:asciiTheme="majorEastAsia" w:eastAsiaTheme="majorEastAsia" w:hAnsiTheme="majorEastAsia"/>
          <w:sz w:val="24"/>
        </w:rPr>
        <w:t>侵袭性淋巴瘤的住院患者。</w:t>
      </w:r>
    </w:p>
    <w:p w:rsidR="00145FC1" w:rsidRDefault="00E86596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  <w:highlight w:val="yellow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 w:rsidR="00340AAD">
        <w:rPr>
          <w:rFonts w:asciiTheme="majorEastAsia" w:eastAsiaTheme="majorEastAsia" w:hAnsiTheme="majorEastAsia" w:hint="eastAsia"/>
          <w:kern w:val="0"/>
          <w:sz w:val="24"/>
        </w:rPr>
        <w:t>患者如</w:t>
      </w:r>
      <w:r w:rsidR="00340AAD">
        <w:rPr>
          <w:rFonts w:asciiTheme="majorEastAsia" w:eastAsiaTheme="majorEastAsia" w:hAnsiTheme="majorEastAsia"/>
          <w:kern w:val="0"/>
          <w:sz w:val="24"/>
        </w:rPr>
        <w:t>同时具有其他疾病</w:t>
      </w:r>
      <w:r w:rsidR="00340AAD">
        <w:rPr>
          <w:rFonts w:asciiTheme="majorEastAsia" w:eastAsiaTheme="majorEastAsia" w:hAnsiTheme="majorEastAsia"/>
          <w:spacing w:val="-24"/>
          <w:kern w:val="0"/>
          <w:sz w:val="24"/>
        </w:rPr>
        <w:t>，</w:t>
      </w:r>
      <w:r w:rsidR="00340AAD">
        <w:rPr>
          <w:rFonts w:asciiTheme="majorEastAsia" w:eastAsiaTheme="majorEastAsia" w:hAnsiTheme="majorEastAsia" w:hint="eastAsia"/>
          <w:kern w:val="0"/>
          <w:sz w:val="24"/>
        </w:rPr>
        <w:t>但</w:t>
      </w:r>
      <w:r w:rsidR="00340AAD">
        <w:rPr>
          <w:rFonts w:asciiTheme="majorEastAsia" w:eastAsiaTheme="majorEastAsia" w:hAnsiTheme="majorEastAsia"/>
          <w:kern w:val="0"/>
          <w:sz w:val="24"/>
        </w:rPr>
        <w:t>在</w:t>
      </w:r>
      <w:r w:rsidR="00340AAD">
        <w:rPr>
          <w:rFonts w:asciiTheme="majorEastAsia" w:eastAsiaTheme="majorEastAsia" w:hAnsiTheme="majorEastAsia" w:hint="eastAsia"/>
          <w:kern w:val="0"/>
          <w:sz w:val="24"/>
        </w:rPr>
        <w:t>住院</w:t>
      </w:r>
      <w:r w:rsidR="00340AAD">
        <w:rPr>
          <w:rFonts w:asciiTheme="majorEastAsia" w:eastAsiaTheme="majorEastAsia" w:hAnsiTheme="majorEastAsia"/>
          <w:kern w:val="0"/>
          <w:sz w:val="24"/>
        </w:rPr>
        <w:t>期间不需特殊处理也不影响第一诊断的临床路径流程实施时，可以进入本路径。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（六）证候学观察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四诊合参，收集该病种不同证候的主症、次症、舌、脉特点，特别注意瘰疬、发热、汗出、乏力等症状的动态变化。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（七）入院</w:t>
      </w:r>
      <w:r>
        <w:rPr>
          <w:rFonts w:asciiTheme="majorEastAsia" w:eastAsiaTheme="majorEastAsia" w:hAnsiTheme="majorEastAsia"/>
          <w:sz w:val="24"/>
        </w:rPr>
        <w:t>检查项目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>
        <w:rPr>
          <w:rFonts w:asciiTheme="majorEastAsia" w:eastAsiaTheme="majorEastAsia" w:hAnsiTheme="majorEastAsia"/>
          <w:sz w:val="24"/>
        </w:rPr>
        <w:t>必需检查项目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组织病理学检查、</w:t>
      </w:r>
      <w:r>
        <w:rPr>
          <w:rFonts w:asciiTheme="majorEastAsia" w:eastAsiaTheme="majorEastAsia" w:hAnsiTheme="majorEastAsia"/>
          <w:sz w:val="24"/>
        </w:rPr>
        <w:t>血常规、生化、</w:t>
      </w:r>
      <w:r>
        <w:rPr>
          <w:rFonts w:asciiTheme="majorEastAsia" w:eastAsiaTheme="majorEastAsia" w:hAnsiTheme="majorEastAsia" w:hint="eastAsia"/>
          <w:sz w:val="24"/>
        </w:rPr>
        <w:t>肝炎分型</w:t>
      </w:r>
      <w:r>
        <w:rPr>
          <w:rFonts w:asciiTheme="majorEastAsia" w:eastAsiaTheme="majorEastAsia" w:hAnsiTheme="major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病原学检查</w:t>
      </w:r>
      <w:r>
        <w:rPr>
          <w:rFonts w:asciiTheme="majorEastAsia" w:eastAsiaTheme="majorEastAsia" w:hAnsiTheme="major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自身抗体</w:t>
      </w:r>
      <w:r>
        <w:rPr>
          <w:rFonts w:asciiTheme="majorEastAsia" w:eastAsiaTheme="majorEastAsia" w:hAnsiTheme="majorEastAsia"/>
          <w:sz w:val="24"/>
        </w:rPr>
        <w:t>、HIV+RPR、凝血</w:t>
      </w:r>
      <w:r>
        <w:rPr>
          <w:rFonts w:asciiTheme="majorEastAsia" w:eastAsiaTheme="majorEastAsia" w:hAnsiTheme="majorEastAsia" w:hint="eastAsia"/>
          <w:sz w:val="24"/>
        </w:rPr>
        <w:t>功能</w:t>
      </w:r>
      <w:r>
        <w:rPr>
          <w:rFonts w:asciiTheme="majorEastAsia" w:eastAsiaTheme="majorEastAsia" w:hAnsiTheme="majorEastAsia"/>
          <w:sz w:val="24"/>
        </w:rPr>
        <w:t>、浅表淋巴结B超、腹部B超、心电图、</w:t>
      </w:r>
      <w:r>
        <w:rPr>
          <w:rFonts w:asciiTheme="majorEastAsia" w:eastAsiaTheme="majorEastAsia" w:hAnsiTheme="majorEastAsia" w:hint="eastAsia"/>
          <w:sz w:val="24"/>
        </w:rPr>
        <w:t>胸</w:t>
      </w:r>
      <w:r>
        <w:rPr>
          <w:rFonts w:asciiTheme="majorEastAsia" w:eastAsiaTheme="majorEastAsia" w:hAnsiTheme="majorEastAsia"/>
          <w:sz w:val="24"/>
        </w:rPr>
        <w:t>腹部CT、</w:t>
      </w:r>
      <w:r>
        <w:rPr>
          <w:rFonts w:asciiTheme="majorEastAsia" w:eastAsiaTheme="majorEastAsia" w:hAnsiTheme="majorEastAsia" w:hint="eastAsia"/>
          <w:sz w:val="24"/>
        </w:rPr>
        <w:t>骨髓细胞形态学+活检</w:t>
      </w:r>
      <w:r>
        <w:rPr>
          <w:rFonts w:asciiTheme="majorEastAsia" w:eastAsiaTheme="majorEastAsia" w:hAnsiTheme="majorEastAsia" w:hint="eastAsia"/>
          <w:color w:val="0070C0"/>
          <w:sz w:val="24"/>
        </w:rPr>
        <w:t>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asciiTheme="majorEastAsia" w:eastAsiaTheme="majorEastAsia" w:hAnsiTheme="majorEastAsia"/>
          <w:sz w:val="24"/>
        </w:rPr>
        <w:t>选择检查项目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根据病情需要，可选择心脏B超、</w:t>
      </w:r>
      <w:r>
        <w:rPr>
          <w:rFonts w:asciiTheme="majorEastAsia" w:eastAsiaTheme="majorEastAsia" w:hAnsiTheme="majorEastAsia" w:hint="eastAsia"/>
          <w:sz w:val="24"/>
        </w:rPr>
        <w:t>遗传学及分子生物学检查、</w:t>
      </w:r>
      <w:r>
        <w:rPr>
          <w:rFonts w:asciiTheme="majorEastAsia" w:eastAsiaTheme="majorEastAsia" w:hAnsiTheme="majorEastAsia"/>
          <w:sz w:val="24"/>
        </w:rPr>
        <w:t>PET-CT。</w:t>
      </w:r>
    </w:p>
    <w:p w:rsidR="00145FC1" w:rsidRDefault="00340AAD" w:rsidP="0061518D">
      <w:pPr>
        <w:adjustRightInd w:val="0"/>
        <w:snapToGrid w:val="0"/>
        <w:spacing w:line="400" w:lineRule="exact"/>
        <w:ind w:firstLine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（八）</w:t>
      </w:r>
      <w:r>
        <w:rPr>
          <w:rFonts w:asciiTheme="majorEastAsia" w:eastAsiaTheme="majorEastAsia" w:hAnsiTheme="majorEastAsia"/>
          <w:sz w:val="24"/>
        </w:rPr>
        <w:t>治疗方法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>
        <w:rPr>
          <w:rFonts w:asciiTheme="majorEastAsia" w:eastAsiaTheme="majorEastAsia" w:hAnsiTheme="majorEastAsia"/>
          <w:sz w:val="24"/>
        </w:rPr>
        <w:t>辨证选择中药汤剂</w:t>
      </w:r>
      <w:r>
        <w:rPr>
          <w:rFonts w:asciiTheme="majorEastAsia" w:eastAsiaTheme="majorEastAsia" w:hAnsiTheme="majorEastAsia" w:hint="eastAsia"/>
          <w:sz w:val="24"/>
        </w:rPr>
        <w:t>、中成药</w:t>
      </w:r>
    </w:p>
    <w:p w:rsidR="00145FC1" w:rsidRDefault="00E86596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</w:t>
      </w:r>
      <w:r w:rsidR="00340AAD">
        <w:rPr>
          <w:rFonts w:asciiTheme="majorEastAsia" w:eastAsiaTheme="majorEastAsia" w:hAnsiTheme="majorEastAsia"/>
          <w:sz w:val="24"/>
        </w:rPr>
        <w:t>寒痰凝滞证：散寒解毒，化痰散结。</w:t>
      </w:r>
    </w:p>
    <w:p w:rsidR="00145FC1" w:rsidRDefault="00E86596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</w:t>
      </w:r>
      <w:r w:rsidR="00340AAD">
        <w:rPr>
          <w:rFonts w:asciiTheme="majorEastAsia" w:eastAsiaTheme="majorEastAsia" w:hAnsiTheme="majorEastAsia"/>
          <w:sz w:val="24"/>
        </w:rPr>
        <w:t>热毒痰结证：清热解毒，化痰散结。</w:t>
      </w:r>
    </w:p>
    <w:p w:rsidR="00145FC1" w:rsidRDefault="00E86596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（3</w:t>
      </w:r>
      <w:r w:rsidR="00340AAD">
        <w:rPr>
          <w:rFonts w:asciiTheme="majorEastAsia" w:eastAsiaTheme="majorEastAsia" w:hAnsiTheme="majorEastAsia"/>
          <w:sz w:val="24"/>
        </w:rPr>
        <w:t>痰瘀互结证：逐瘀化痰散结。</w:t>
      </w:r>
    </w:p>
    <w:p w:rsidR="00145FC1" w:rsidRDefault="00E86596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（4</w:t>
      </w:r>
      <w:r w:rsidR="00340AAD">
        <w:rPr>
          <w:rFonts w:asciiTheme="majorEastAsia" w:eastAsiaTheme="majorEastAsia" w:hAnsiTheme="majorEastAsia"/>
          <w:sz w:val="24"/>
        </w:rPr>
        <w:t>正虚痰凝证：扶正托毒，软坚散结。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>
        <w:rPr>
          <w:rFonts w:asciiTheme="majorEastAsia" w:eastAsiaTheme="majorEastAsia" w:hAnsiTheme="majorEastAsia"/>
          <w:sz w:val="24"/>
        </w:rPr>
        <w:t>辨证选择</w:t>
      </w:r>
      <w:r>
        <w:rPr>
          <w:rFonts w:asciiTheme="majorEastAsia" w:eastAsiaTheme="majorEastAsia" w:hAnsiTheme="majorEastAsia" w:hint="eastAsia"/>
          <w:sz w:val="24"/>
        </w:rPr>
        <w:t>静脉注射</w:t>
      </w:r>
      <w:r>
        <w:rPr>
          <w:rFonts w:asciiTheme="majorEastAsia" w:eastAsiaTheme="majorEastAsia" w:hAnsiTheme="majorEastAsia"/>
          <w:sz w:val="24"/>
        </w:rPr>
        <w:t>中药注射液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>
        <w:rPr>
          <w:rFonts w:asciiTheme="majorEastAsia" w:eastAsiaTheme="majorEastAsia" w:hAnsiTheme="majorEastAsia"/>
          <w:sz w:val="24"/>
        </w:rPr>
        <w:t>其他中医特色治疗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（1）中药外敷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（2）针灸疗法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4.</w:t>
      </w:r>
      <w:r>
        <w:rPr>
          <w:rFonts w:asciiTheme="majorEastAsia" w:eastAsiaTheme="majorEastAsia" w:hAnsiTheme="majorEastAsia"/>
          <w:sz w:val="24"/>
        </w:rPr>
        <w:t>西药治疗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5.</w:t>
      </w:r>
      <w:r>
        <w:rPr>
          <w:rFonts w:asciiTheme="majorEastAsia" w:eastAsiaTheme="majorEastAsia" w:hAnsiTheme="majorEastAsia"/>
          <w:sz w:val="24"/>
        </w:rPr>
        <w:t>护理调摄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（九）</w:t>
      </w:r>
      <w:r>
        <w:rPr>
          <w:rFonts w:asciiTheme="majorEastAsia" w:eastAsiaTheme="majorEastAsia" w:hAnsiTheme="majorEastAsia"/>
          <w:sz w:val="24"/>
        </w:rPr>
        <w:t>出院标准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>
        <w:rPr>
          <w:rFonts w:ascii="宋体" w:hAnsi="宋体" w:hint="eastAsia"/>
          <w:kern w:val="0"/>
          <w:sz w:val="24"/>
        </w:rPr>
        <w:t>病症好转或稳定。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highlight w:val="yellow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没有需要住院处理的并发症和</w:t>
      </w:r>
      <w:r>
        <w:rPr>
          <w:rFonts w:ascii="宋体" w:hAnsi="宋体"/>
          <w:kern w:val="0"/>
          <w:sz w:val="24"/>
        </w:rPr>
        <w:t>/</w:t>
      </w:r>
      <w:r>
        <w:rPr>
          <w:rFonts w:ascii="宋体" w:hAnsi="宋体" w:hint="eastAsia"/>
          <w:kern w:val="0"/>
          <w:sz w:val="24"/>
        </w:rPr>
        <w:t>或合并症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（十）</w:t>
      </w:r>
      <w:r>
        <w:rPr>
          <w:rFonts w:asciiTheme="majorEastAsia" w:eastAsiaTheme="majorEastAsia" w:hAnsiTheme="majorEastAsia"/>
          <w:sz w:val="24"/>
        </w:rPr>
        <w:t>变异及原因分析</w:t>
      </w:r>
    </w:p>
    <w:p w:rsidR="00145FC1" w:rsidRDefault="00340AAD" w:rsidP="0061518D">
      <w:pPr>
        <w:adjustRightInd w:val="0"/>
        <w:snapToGrid w:val="0"/>
        <w:spacing w:line="400" w:lineRule="exact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1.病情加重，需要延长住院时间，增加住院费用。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192" w:firstLine="461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2.合并其他系统疾病者，治疗期间病情加重，需要特殊处理，退出本路径。</w:t>
      </w:r>
    </w:p>
    <w:p w:rsidR="00145FC1" w:rsidRDefault="00340AAD" w:rsidP="0061518D">
      <w:pPr>
        <w:adjustRightInd w:val="0"/>
        <w:snapToGrid w:val="0"/>
        <w:spacing w:line="400" w:lineRule="exact"/>
        <w:ind w:firstLineChars="200" w:firstLine="480"/>
        <w:rPr>
          <w:color w:val="000000"/>
          <w:sz w:val="24"/>
          <w:szCs w:val="2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3.因患者及其家属意愿而影响本路径的执行时，退出本路径。</w:t>
      </w:r>
      <w:r>
        <w:rPr>
          <w:rFonts w:hint="eastAsia"/>
          <w:color w:val="000000"/>
          <w:sz w:val="24"/>
          <w:szCs w:val="20"/>
          <w:shd w:val="clear" w:color="auto" w:fill="FFFFFF"/>
        </w:rPr>
        <w:t xml:space="preserve">                                 </w:t>
      </w:r>
    </w:p>
    <w:p w:rsidR="00F34DBE" w:rsidRDefault="00340AAD" w:rsidP="0061518D">
      <w:pPr>
        <w:adjustRightInd w:val="0"/>
        <w:snapToGrid w:val="0"/>
        <w:spacing w:line="400" w:lineRule="exact"/>
        <w:ind w:firstLineChars="200" w:firstLine="723"/>
        <w:jc w:val="left"/>
        <w:rPr>
          <w:rFonts w:ascii="黑体" w:eastAsia="黑体" w:hAnsi="黑体"/>
          <w:sz w:val="24"/>
        </w:rPr>
      </w:pPr>
      <w:r>
        <w:rPr>
          <w:rFonts w:hAnsi="宋体" w:hint="eastAsia"/>
          <w:b/>
          <w:sz w:val="36"/>
          <w:szCs w:val="36"/>
        </w:rPr>
        <w:br w:type="page"/>
      </w:r>
      <w:r w:rsidR="00BC7664" w:rsidRPr="00BC7664">
        <w:rPr>
          <w:rFonts w:ascii="黑体" w:eastAsia="黑体" w:hAnsi="黑体" w:hint="eastAsia"/>
          <w:sz w:val="24"/>
        </w:rPr>
        <w:lastRenderedPageBreak/>
        <w:t>二、恶性淋巴瘤中医临床路径标准住院表单</w:t>
      </w:r>
    </w:p>
    <w:p w:rsidR="00145FC1" w:rsidRDefault="00340AAD">
      <w:pPr>
        <w:adjustRightInd w:val="0"/>
        <w:snapToGrid w:val="0"/>
        <w:spacing w:line="300" w:lineRule="auto"/>
        <w:ind w:firstLineChars="200" w:firstLine="420"/>
      </w:pPr>
      <w:r>
        <w:rPr>
          <w:rFonts w:hint="eastAsia"/>
        </w:rPr>
        <w:t>适用对象：第一诊断为恶性淋巴瘤</w:t>
      </w:r>
      <w:r w:rsidR="00966C04" w:rsidRPr="00966C04">
        <w:rPr>
          <w:rFonts w:hint="eastAsia"/>
          <w:szCs w:val="21"/>
        </w:rPr>
        <w:t>（</w:t>
      </w:r>
      <w:r w:rsidR="00BC7664" w:rsidRPr="00BC7664">
        <w:rPr>
          <w:rFonts w:asciiTheme="majorEastAsia" w:eastAsiaTheme="majorEastAsia" w:hAnsiTheme="majorEastAsia"/>
          <w:szCs w:val="21"/>
        </w:rPr>
        <w:t>ICD-10编码</w:t>
      </w:r>
      <w:r w:rsidR="00BC7664" w:rsidRPr="00BC7664">
        <w:rPr>
          <w:rFonts w:asciiTheme="majorEastAsia" w:eastAsiaTheme="majorEastAsia" w:hAnsiTheme="majorEastAsia" w:hint="eastAsia"/>
          <w:szCs w:val="21"/>
        </w:rPr>
        <w:t>：</w:t>
      </w:r>
      <w:r w:rsidR="00BC7664" w:rsidRPr="00BC7664">
        <w:rPr>
          <w:rFonts w:asciiTheme="majorEastAsia" w:eastAsiaTheme="majorEastAsia" w:hAnsiTheme="majorEastAsia"/>
          <w:szCs w:val="21"/>
        </w:rPr>
        <w:t>C82</w:t>
      </w:r>
      <w:r w:rsidR="00BC7664" w:rsidRPr="00BC7664">
        <w:rPr>
          <w:rFonts w:asciiTheme="majorEastAsia" w:eastAsiaTheme="majorEastAsia" w:hAnsiTheme="majorEastAsia" w:hint="eastAsia"/>
          <w:szCs w:val="21"/>
        </w:rPr>
        <w:t>，</w:t>
      </w:r>
      <w:r w:rsidR="00BC7664" w:rsidRPr="00BC7664">
        <w:rPr>
          <w:rFonts w:asciiTheme="majorEastAsia" w:eastAsiaTheme="majorEastAsia" w:hAnsiTheme="majorEastAsia"/>
          <w:szCs w:val="21"/>
        </w:rPr>
        <w:t>ICD-10编码</w:t>
      </w:r>
      <w:r w:rsidR="00BC7664" w:rsidRPr="00BC7664">
        <w:rPr>
          <w:rFonts w:asciiTheme="majorEastAsia" w:eastAsiaTheme="majorEastAsia" w:hAnsiTheme="majorEastAsia" w:hint="eastAsia"/>
          <w:szCs w:val="21"/>
        </w:rPr>
        <w:t>：</w:t>
      </w:r>
      <w:r w:rsidR="00BC7664" w:rsidRPr="00BC7664">
        <w:rPr>
          <w:rFonts w:asciiTheme="majorEastAsia" w:eastAsiaTheme="majorEastAsia" w:hAnsiTheme="majorEastAsia"/>
          <w:szCs w:val="21"/>
        </w:rPr>
        <w:t>C82</w:t>
      </w:r>
      <w:r w:rsidR="00966C04" w:rsidRPr="00966C04">
        <w:rPr>
          <w:rFonts w:hint="eastAsia"/>
          <w:szCs w:val="21"/>
        </w:rPr>
        <w:t>）</w:t>
      </w:r>
    </w:p>
    <w:p w:rsidR="00145FC1" w:rsidRPr="00E86596" w:rsidRDefault="00340AAD">
      <w:pPr>
        <w:adjustRightInd w:val="0"/>
        <w:snapToGrid w:val="0"/>
        <w:spacing w:line="300" w:lineRule="auto"/>
        <w:ind w:firstLineChars="200" w:firstLine="420"/>
        <w:rPr>
          <w:u w:val="single"/>
        </w:rPr>
      </w:pPr>
      <w:r>
        <w:rPr>
          <w:rFonts w:hint="eastAsia"/>
        </w:rPr>
        <w:t>患者姓名：</w:t>
      </w:r>
      <w:r w:rsidR="00BC7664" w:rsidRPr="00BC7664">
        <w:rPr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性别：</w:t>
      </w:r>
      <w:r w:rsidR="00BC7664" w:rsidRPr="00BC7664">
        <w:rPr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年龄：</w:t>
      </w:r>
      <w:r w:rsidR="00BC7664" w:rsidRPr="00BC7664">
        <w:rPr>
          <w:rFonts w:hint="eastAsia"/>
          <w:u w:val="single"/>
        </w:rPr>
        <w:t xml:space="preserve">　</w:t>
      </w:r>
      <w:r w:rsidR="00BC7664" w:rsidRPr="00BC7664">
        <w:rPr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门诊号：</w:t>
      </w:r>
      <w:r w:rsidR="00BC7664" w:rsidRPr="00BC7664">
        <w:rPr>
          <w:rFonts w:hint="eastAsia"/>
          <w:u w:val="single"/>
        </w:rPr>
        <w:t xml:space="preserve">　</w:t>
      </w:r>
      <w:r w:rsidR="00BC7664" w:rsidRPr="00BC7664">
        <w:rPr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住院号：</w:t>
      </w:r>
    </w:p>
    <w:p w:rsidR="00145FC1" w:rsidRDefault="00340AAD">
      <w:pPr>
        <w:adjustRightInd w:val="0"/>
        <w:snapToGrid w:val="0"/>
        <w:spacing w:line="300" w:lineRule="auto"/>
        <w:ind w:firstLineChars="200" w:firstLine="420"/>
      </w:pPr>
      <w:r>
        <w:rPr>
          <w:rFonts w:hint="eastAsia"/>
        </w:rPr>
        <w:t>发病时间：</w:t>
      </w:r>
      <w:r w:rsidR="00BC7664" w:rsidRPr="00BC7664">
        <w:rPr>
          <w:u w:val="single"/>
        </w:rPr>
        <w:t xml:space="preserve">   </w:t>
      </w:r>
      <w:r>
        <w:rPr>
          <w:rFonts w:hint="eastAsia"/>
        </w:rPr>
        <w:t>年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月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住院时间：</w:t>
      </w:r>
      <w:r w:rsidR="00BC7664" w:rsidRPr="00BC7664">
        <w:rPr>
          <w:u w:val="single"/>
        </w:rPr>
        <w:t xml:space="preserve">   </w:t>
      </w:r>
      <w:r>
        <w:rPr>
          <w:rFonts w:hint="eastAsia"/>
        </w:rPr>
        <w:t>年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月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出院时间：</w:t>
      </w:r>
      <w:r w:rsidR="00BC7664" w:rsidRPr="00BC7664">
        <w:rPr>
          <w:u w:val="single"/>
        </w:rPr>
        <w:t xml:space="preserve">   </w:t>
      </w:r>
      <w:r>
        <w:rPr>
          <w:rFonts w:hint="eastAsia"/>
        </w:rPr>
        <w:t>年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月</w:t>
      </w:r>
      <w:r w:rsidR="00BC7664" w:rsidRPr="00BC7664">
        <w:rPr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145FC1" w:rsidRDefault="00340AAD" w:rsidP="00F23069">
      <w:pPr>
        <w:adjustRightInd w:val="0"/>
        <w:snapToGrid w:val="0"/>
        <w:spacing w:afterLines="50" w:line="300" w:lineRule="auto"/>
        <w:ind w:firstLineChars="200" w:firstLine="420"/>
      </w:pPr>
      <w:r>
        <w:rPr>
          <w:rFonts w:hint="eastAsia"/>
        </w:rPr>
        <w:t>标准住院日：≤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天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实际住院日：　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</w:p>
    <w:tbl>
      <w:tblPr>
        <w:tblW w:w="5185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953"/>
        <w:gridCol w:w="1295"/>
        <w:gridCol w:w="566"/>
        <w:gridCol w:w="840"/>
        <w:gridCol w:w="552"/>
        <w:gridCol w:w="762"/>
        <w:gridCol w:w="633"/>
        <w:gridCol w:w="670"/>
        <w:gridCol w:w="594"/>
        <w:gridCol w:w="1256"/>
      </w:tblGrid>
      <w:tr w:rsidR="00F23069" w:rsidTr="00F23069">
        <w:trPr>
          <w:trHeight w:val="22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住院第1天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住院第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2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7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天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住院第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8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14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天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住院第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15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21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天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出院日</w:t>
            </w:r>
          </w:p>
        </w:tc>
      </w:tr>
      <w:tr w:rsidR="00F23069" w:rsidTr="00F23069">
        <w:trPr>
          <w:cantSplit/>
          <w:trHeight w:val="1914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主要诊疗工作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□询问病史、体格检查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□采集中医四诊信息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□初步拟定诊疗方案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□向患者家属交待病情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□下达医嘱、开检查单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□完成病历书写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□各级医师查房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□据检查结果进行相应处理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□完成病历书写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□各级医师查房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根据病情调整方案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□完成病历书写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□各级医师查房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根据病情调整方案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□完成病历书写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□上级医师查房确定出院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□完成出院记录及出院诊断书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□主管医师制定随访计划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□出院带药及宣教</w:t>
            </w:r>
          </w:p>
        </w:tc>
      </w:tr>
      <w:tr w:rsidR="00F23069" w:rsidTr="00F23069">
        <w:trPr>
          <w:cantSplit/>
          <w:trHeight w:val="2956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重点医嘱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□血液病护理常规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□分级护理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□基础治疗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□口服中药汤剂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□静脉注射中药针剂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□口服中成药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□中医特色诊疗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□对症治疗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临时医嘱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□血常规、生化、凝血功能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□ANA类、肝炎分型、H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IV+RPR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、病毒类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□腹部B超、心超、淋巴结B超、心电图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□骨髓细胞形态学、骨髓活检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□组织病理学检查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□肺部C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T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t>、腹部C</w:t>
            </w:r>
            <w:r w:rsidRPr="00E32B66">
              <w:rPr>
                <w:rFonts w:asciiTheme="minorEastAsia" w:eastAsiaTheme="minorEastAsia" w:hAnsiTheme="minorEastAsia"/>
                <w:szCs w:val="21"/>
              </w:rPr>
              <w:t>T</w:t>
            </w:r>
          </w:p>
          <w:p w:rsidR="00F34DBE" w:rsidRPr="00E32B66" w:rsidRDefault="00340AAD">
            <w:pPr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□可选择检查项目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□血液病护理常规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□分级护理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□基础治疗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□口服中药汤剂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静脉注射中药针剂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□口服中成药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□中医特色诊疗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□对症治疗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临时医嘱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复查必要检查项目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□血液病护理常规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□分级护理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□基础治疗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□口服中药汤剂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静脉注射中药针剂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□口服中成药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□中医特色诊疗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□对症治疗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临时医嘱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复查必要检查项目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□血液病护理常规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□分级护理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□基础治疗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□口服中药汤剂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□静脉注射中药针剂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□口服中成药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□中医特色诊疗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□对症治疗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临时医嘱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复查必要检查项目</w:t>
            </w:r>
          </w:p>
          <w:p w:rsidR="00145FC1" w:rsidRPr="00E32B66" w:rsidRDefault="00145FC1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□停止长期医嘱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临时医嘱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□出院医嘱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□出院带药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□门诊随诊</w:t>
            </w:r>
          </w:p>
          <w:p w:rsidR="00145FC1" w:rsidRPr="00E32B66" w:rsidRDefault="00145FC1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3069" w:rsidTr="00F23069">
        <w:trPr>
          <w:trHeight w:val="1151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主要护理工作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□入院宣教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□发放临床路径告知书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□生命体征检测、出入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量记录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□指导患者完成相关检查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□生命体征检测、出入量记录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□治疗相关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教育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□运动和饮食指导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□生命体征检测、出入量记录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□治疗相关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教育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□运动和饮食指导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□生命体征检测、出入量记录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□治疗相关</w:t>
            </w: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教育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□运动和饮食指导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交待出院后门诊复诊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□指导患者病后康复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</w:t>
            </w:r>
            <w:r w:rsidRPr="00E32B66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指导出院带药煎服法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□协助办理出院</w:t>
            </w:r>
          </w:p>
        </w:tc>
      </w:tr>
      <w:tr w:rsidR="00F23069" w:rsidTr="00F23069">
        <w:trPr>
          <w:trHeight w:val="969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lastRenderedPageBreak/>
              <w:t>病情变异记录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□无  □有，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原因：1.</w:t>
            </w:r>
          </w:p>
          <w:p w:rsidR="00145FC1" w:rsidRPr="00E32B66" w:rsidRDefault="00340AAD" w:rsidP="00E32B66">
            <w:pPr>
              <w:adjustRightInd w:val="0"/>
              <w:snapToGrid w:val="0"/>
              <w:spacing w:line="300" w:lineRule="auto"/>
              <w:ind w:firstLineChars="300" w:firstLine="630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□无  □有，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原因：1.</w:t>
            </w:r>
          </w:p>
          <w:p w:rsidR="00145FC1" w:rsidRPr="00E32B66" w:rsidRDefault="00340AAD" w:rsidP="00E32B66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□无  □有，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原因：1.</w:t>
            </w:r>
          </w:p>
          <w:p w:rsidR="00145FC1" w:rsidRPr="00E32B66" w:rsidRDefault="00340AAD" w:rsidP="00E32B66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□无  □有，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原因：1.</w:t>
            </w:r>
          </w:p>
          <w:p w:rsidR="00145FC1" w:rsidRPr="00E32B66" w:rsidRDefault="00340AAD" w:rsidP="00E32B66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□无  □有，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原因：1.</w:t>
            </w:r>
          </w:p>
          <w:p w:rsidR="00145FC1" w:rsidRPr="00E32B66" w:rsidRDefault="00340AAD" w:rsidP="00E32B66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2.</w:t>
            </w:r>
          </w:p>
        </w:tc>
      </w:tr>
      <w:tr w:rsidR="00F23069" w:rsidTr="00F23069">
        <w:trPr>
          <w:trHeight w:val="502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责任护士签名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textAlignment w:val="top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</w:tr>
      <w:tr w:rsidR="00F23069" w:rsidTr="00F23069">
        <w:trPr>
          <w:trHeight w:val="468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医师</w:t>
            </w:r>
          </w:p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签名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145F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C1" w:rsidRPr="00E32B66" w:rsidRDefault="00340AAD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2B66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</w:tr>
    </w:tbl>
    <w:p w:rsidR="00145FC1" w:rsidRDefault="00145FC1">
      <w:pPr>
        <w:widowControl/>
        <w:adjustRightInd w:val="0"/>
        <w:snapToGrid w:val="0"/>
        <w:spacing w:line="300" w:lineRule="auto"/>
        <w:jc w:val="left"/>
        <w:rPr>
          <w:sz w:val="32"/>
          <w:szCs w:val="32"/>
        </w:rPr>
      </w:pPr>
    </w:p>
    <w:p w:rsidR="00145FC1" w:rsidRDefault="00340AAD" w:rsidP="00F23069">
      <w:pPr>
        <w:adjustRightInd w:val="0"/>
        <w:snapToGrid w:val="0"/>
        <w:spacing w:line="300" w:lineRule="auto"/>
        <w:ind w:right="600" w:firstLineChars="200" w:firstLine="480"/>
        <w:rPr>
          <w:rFonts w:eastAsiaTheme="minorEastAsia"/>
          <w:bCs/>
          <w:sz w:val="24"/>
        </w:rPr>
      </w:pPr>
      <w:r>
        <w:rPr>
          <w:rFonts w:hint="eastAsia"/>
          <w:bCs/>
          <w:sz w:val="24"/>
        </w:rPr>
        <w:t>牵头分会：中华中医药学会血液病分会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牵</w:t>
      </w:r>
      <w:r w:rsidR="00E32B66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头</w:t>
      </w:r>
      <w:r w:rsidR="00E32B66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人：</w:t>
      </w: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周郁鸿</w:t>
      </w:r>
      <w:r>
        <w:rPr>
          <w:rFonts w:hint="eastAsia"/>
          <w:bCs/>
          <w:sz w:val="24"/>
        </w:rPr>
        <w:t>（浙江省中医医院）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主要完成人：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700" w:firstLine="1680"/>
        <w:rPr>
          <w:bCs/>
          <w:sz w:val="24"/>
        </w:rPr>
      </w:pP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周郁鸿</w:t>
      </w:r>
      <w:r>
        <w:rPr>
          <w:rFonts w:hint="eastAsia"/>
          <w:bCs/>
          <w:sz w:val="24"/>
        </w:rPr>
        <w:t>（浙江省中医医院）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700" w:firstLine="1680"/>
        <w:rPr>
          <w:bCs/>
          <w:sz w:val="24"/>
        </w:rPr>
      </w:pP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沈建平</w:t>
      </w:r>
      <w:r>
        <w:rPr>
          <w:rFonts w:hint="eastAsia"/>
          <w:bCs/>
          <w:sz w:val="24"/>
        </w:rPr>
        <w:t>（浙江省中医医院）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700" w:firstLine="1680"/>
        <w:rPr>
          <w:bCs/>
          <w:sz w:val="24"/>
        </w:rPr>
      </w:pP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叶宝东</w:t>
      </w:r>
      <w:r>
        <w:rPr>
          <w:rFonts w:hint="eastAsia"/>
          <w:bCs/>
          <w:sz w:val="24"/>
        </w:rPr>
        <w:t>（浙江省中医医院）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700" w:firstLine="1680"/>
        <w:rPr>
          <w:bCs/>
          <w:sz w:val="24"/>
        </w:rPr>
      </w:pP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张</w:t>
      </w:r>
      <w:r>
        <w:rPr>
          <w:rFonts w:hint="eastAsia"/>
          <w:bCs/>
          <w:color w:val="000000"/>
          <w:sz w:val="24"/>
          <w:szCs w:val="20"/>
          <w:shd w:val="clear" w:color="auto" w:fill="FFFFFF"/>
        </w:rPr>
        <w:t xml:space="preserve"> </w:t>
      </w:r>
      <w:r>
        <w:rPr>
          <w:bCs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hint="eastAsia"/>
          <w:bCs/>
          <w:color w:val="000000"/>
          <w:sz w:val="24"/>
          <w:szCs w:val="20"/>
          <w:shd w:val="clear" w:color="auto" w:fill="FFFFFF"/>
        </w:rPr>
        <w:t>宇</w:t>
      </w:r>
      <w:r>
        <w:rPr>
          <w:rFonts w:hint="eastAsia"/>
          <w:bCs/>
          <w:sz w:val="24"/>
        </w:rPr>
        <w:t>（浙江省中医医院）</w:t>
      </w:r>
    </w:p>
    <w:p w:rsidR="00145FC1" w:rsidRDefault="00340AAD" w:rsidP="00F23069">
      <w:pPr>
        <w:adjustRightInd w:val="0"/>
        <w:snapToGrid w:val="0"/>
        <w:spacing w:line="300" w:lineRule="auto"/>
        <w:ind w:right="600" w:firstLineChars="700" w:firstLine="1680"/>
        <w:rPr>
          <w:rFonts w:asciiTheme="majorEastAsia" w:eastAsiaTheme="majorEastAsia" w:hAnsiTheme="majorEastAsia"/>
          <w:bCs/>
          <w:sz w:val="24"/>
          <w:shd w:val="clear" w:color="auto" w:fill="FFFFFF"/>
        </w:rPr>
      </w:pPr>
      <w:r>
        <w:rPr>
          <w:bCs/>
          <w:sz w:val="24"/>
        </w:rPr>
        <w:t>陈信义</w:t>
      </w:r>
      <w:r>
        <w:rPr>
          <w:rFonts w:hint="eastAsia"/>
          <w:bCs/>
          <w:sz w:val="24"/>
        </w:rPr>
        <w:t>（北京中医药大学东直门医院）</w:t>
      </w:r>
    </w:p>
    <w:p w:rsidR="00145FC1" w:rsidRDefault="00145FC1">
      <w:pPr>
        <w:widowControl/>
        <w:adjustRightInd w:val="0"/>
        <w:snapToGrid w:val="0"/>
        <w:spacing w:line="300" w:lineRule="auto"/>
        <w:jc w:val="left"/>
        <w:rPr>
          <w:sz w:val="32"/>
          <w:szCs w:val="32"/>
        </w:rPr>
      </w:pPr>
      <w:bookmarkStart w:id="0" w:name="_GoBack"/>
      <w:bookmarkEnd w:id="0"/>
    </w:p>
    <w:sectPr w:rsidR="00145FC1" w:rsidSect="006151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EE" w:rsidRDefault="005306EE" w:rsidP="00E86596">
      <w:r>
        <w:separator/>
      </w:r>
    </w:p>
  </w:endnote>
  <w:endnote w:type="continuationSeparator" w:id="1">
    <w:p w:rsidR="005306EE" w:rsidRDefault="005306EE" w:rsidP="00E8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EE" w:rsidRDefault="005306EE" w:rsidP="00E86596">
      <w:r>
        <w:separator/>
      </w:r>
    </w:p>
  </w:footnote>
  <w:footnote w:type="continuationSeparator" w:id="1">
    <w:p w:rsidR="005306EE" w:rsidRDefault="005306EE" w:rsidP="00E8659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B0EED"/>
    <w:rsid w:val="000075CC"/>
    <w:rsid w:val="00007E16"/>
    <w:rsid w:val="000239C4"/>
    <w:rsid w:val="00025F07"/>
    <w:rsid w:val="0003026F"/>
    <w:rsid w:val="0003355D"/>
    <w:rsid w:val="0003619A"/>
    <w:rsid w:val="00043A78"/>
    <w:rsid w:val="000511EB"/>
    <w:rsid w:val="00067B36"/>
    <w:rsid w:val="00082349"/>
    <w:rsid w:val="0009478D"/>
    <w:rsid w:val="000A4D29"/>
    <w:rsid w:val="000B3999"/>
    <w:rsid w:val="000B447E"/>
    <w:rsid w:val="000B5445"/>
    <w:rsid w:val="001011B0"/>
    <w:rsid w:val="00107D6A"/>
    <w:rsid w:val="00113CE2"/>
    <w:rsid w:val="00114DE7"/>
    <w:rsid w:val="00127DE7"/>
    <w:rsid w:val="00135CCF"/>
    <w:rsid w:val="00141E21"/>
    <w:rsid w:val="00145FC1"/>
    <w:rsid w:val="001635BA"/>
    <w:rsid w:val="00167889"/>
    <w:rsid w:val="00172FA3"/>
    <w:rsid w:val="0017429B"/>
    <w:rsid w:val="0018540E"/>
    <w:rsid w:val="001B6DE4"/>
    <w:rsid w:val="001C732F"/>
    <w:rsid w:val="001D7C75"/>
    <w:rsid w:val="001F6C7B"/>
    <w:rsid w:val="001F767A"/>
    <w:rsid w:val="002148EA"/>
    <w:rsid w:val="00216189"/>
    <w:rsid w:val="0023341C"/>
    <w:rsid w:val="002366D6"/>
    <w:rsid w:val="00236B1C"/>
    <w:rsid w:val="002575FB"/>
    <w:rsid w:val="00271384"/>
    <w:rsid w:val="00283185"/>
    <w:rsid w:val="0029470E"/>
    <w:rsid w:val="002A5636"/>
    <w:rsid w:val="002B2791"/>
    <w:rsid w:val="002C5F08"/>
    <w:rsid w:val="002D5471"/>
    <w:rsid w:val="002D59BF"/>
    <w:rsid w:val="00340AAD"/>
    <w:rsid w:val="00361CE6"/>
    <w:rsid w:val="00374A11"/>
    <w:rsid w:val="003F1943"/>
    <w:rsid w:val="00413D96"/>
    <w:rsid w:val="00422B93"/>
    <w:rsid w:val="00435E22"/>
    <w:rsid w:val="00451C10"/>
    <w:rsid w:val="00453EE6"/>
    <w:rsid w:val="0046714F"/>
    <w:rsid w:val="0048215A"/>
    <w:rsid w:val="00487C84"/>
    <w:rsid w:val="004A6F52"/>
    <w:rsid w:val="004B3C16"/>
    <w:rsid w:val="004D16BA"/>
    <w:rsid w:val="004D69AB"/>
    <w:rsid w:val="004E2EDF"/>
    <w:rsid w:val="005040DD"/>
    <w:rsid w:val="00512944"/>
    <w:rsid w:val="00513710"/>
    <w:rsid w:val="005169EA"/>
    <w:rsid w:val="00523384"/>
    <w:rsid w:val="005306EE"/>
    <w:rsid w:val="005376DA"/>
    <w:rsid w:val="00554DF5"/>
    <w:rsid w:val="00571D4D"/>
    <w:rsid w:val="005902BB"/>
    <w:rsid w:val="005B7C0F"/>
    <w:rsid w:val="005D4EFD"/>
    <w:rsid w:val="005F7764"/>
    <w:rsid w:val="00611F8D"/>
    <w:rsid w:val="0061518D"/>
    <w:rsid w:val="00620688"/>
    <w:rsid w:val="006208B8"/>
    <w:rsid w:val="00624D1B"/>
    <w:rsid w:val="00647ECE"/>
    <w:rsid w:val="00661052"/>
    <w:rsid w:val="00667C6F"/>
    <w:rsid w:val="00670998"/>
    <w:rsid w:val="0067131E"/>
    <w:rsid w:val="006804A6"/>
    <w:rsid w:val="00686F6B"/>
    <w:rsid w:val="006B5CB8"/>
    <w:rsid w:val="006C5B5D"/>
    <w:rsid w:val="006F4290"/>
    <w:rsid w:val="006F46D7"/>
    <w:rsid w:val="007175FF"/>
    <w:rsid w:val="00755B26"/>
    <w:rsid w:val="00767919"/>
    <w:rsid w:val="00770735"/>
    <w:rsid w:val="00774F74"/>
    <w:rsid w:val="00786AC9"/>
    <w:rsid w:val="00791758"/>
    <w:rsid w:val="007B054A"/>
    <w:rsid w:val="007B10F0"/>
    <w:rsid w:val="007B15C5"/>
    <w:rsid w:val="007C7BFC"/>
    <w:rsid w:val="007D4FF4"/>
    <w:rsid w:val="007E6AF3"/>
    <w:rsid w:val="008053A5"/>
    <w:rsid w:val="00807D84"/>
    <w:rsid w:val="00817365"/>
    <w:rsid w:val="008244C7"/>
    <w:rsid w:val="008319C6"/>
    <w:rsid w:val="00833E06"/>
    <w:rsid w:val="00842C48"/>
    <w:rsid w:val="008450E5"/>
    <w:rsid w:val="00855F1F"/>
    <w:rsid w:val="0086111A"/>
    <w:rsid w:val="00865D97"/>
    <w:rsid w:val="008925E2"/>
    <w:rsid w:val="0089272E"/>
    <w:rsid w:val="008C12EB"/>
    <w:rsid w:val="008C6FF6"/>
    <w:rsid w:val="008F57C7"/>
    <w:rsid w:val="00952DCD"/>
    <w:rsid w:val="00966C04"/>
    <w:rsid w:val="00970338"/>
    <w:rsid w:val="00972259"/>
    <w:rsid w:val="009723B8"/>
    <w:rsid w:val="009D55F4"/>
    <w:rsid w:val="009E143D"/>
    <w:rsid w:val="009E2E34"/>
    <w:rsid w:val="00A03D8F"/>
    <w:rsid w:val="00A24B86"/>
    <w:rsid w:val="00A51B39"/>
    <w:rsid w:val="00A70F4F"/>
    <w:rsid w:val="00A76F95"/>
    <w:rsid w:val="00A8782C"/>
    <w:rsid w:val="00AC0E8B"/>
    <w:rsid w:val="00AD62EF"/>
    <w:rsid w:val="00AF067A"/>
    <w:rsid w:val="00AF0E1F"/>
    <w:rsid w:val="00AF1166"/>
    <w:rsid w:val="00AF7820"/>
    <w:rsid w:val="00B00C39"/>
    <w:rsid w:val="00B0376D"/>
    <w:rsid w:val="00B2324B"/>
    <w:rsid w:val="00B25E74"/>
    <w:rsid w:val="00B42E97"/>
    <w:rsid w:val="00B4765E"/>
    <w:rsid w:val="00B73F65"/>
    <w:rsid w:val="00B8599F"/>
    <w:rsid w:val="00B87E7B"/>
    <w:rsid w:val="00BB3D6D"/>
    <w:rsid w:val="00BC7664"/>
    <w:rsid w:val="00BD0BF6"/>
    <w:rsid w:val="00BE2D05"/>
    <w:rsid w:val="00C152FE"/>
    <w:rsid w:val="00C17F8F"/>
    <w:rsid w:val="00C21CF1"/>
    <w:rsid w:val="00C35D68"/>
    <w:rsid w:val="00C50970"/>
    <w:rsid w:val="00C67343"/>
    <w:rsid w:val="00C779D1"/>
    <w:rsid w:val="00CA08C7"/>
    <w:rsid w:val="00CC0D4F"/>
    <w:rsid w:val="00CC3636"/>
    <w:rsid w:val="00CE1BF3"/>
    <w:rsid w:val="00CE5577"/>
    <w:rsid w:val="00CE690E"/>
    <w:rsid w:val="00CF7BE1"/>
    <w:rsid w:val="00D00DCA"/>
    <w:rsid w:val="00D41805"/>
    <w:rsid w:val="00D867D9"/>
    <w:rsid w:val="00D90826"/>
    <w:rsid w:val="00D96E5C"/>
    <w:rsid w:val="00DB2BF4"/>
    <w:rsid w:val="00DC32E1"/>
    <w:rsid w:val="00DD18DC"/>
    <w:rsid w:val="00DE10F0"/>
    <w:rsid w:val="00E04F46"/>
    <w:rsid w:val="00E27F72"/>
    <w:rsid w:val="00E32B66"/>
    <w:rsid w:val="00E86596"/>
    <w:rsid w:val="00E87112"/>
    <w:rsid w:val="00EA6350"/>
    <w:rsid w:val="00EA664F"/>
    <w:rsid w:val="00EB635E"/>
    <w:rsid w:val="00EE7530"/>
    <w:rsid w:val="00EF4087"/>
    <w:rsid w:val="00F10099"/>
    <w:rsid w:val="00F203DD"/>
    <w:rsid w:val="00F21A61"/>
    <w:rsid w:val="00F23069"/>
    <w:rsid w:val="00F31E70"/>
    <w:rsid w:val="00F34DBE"/>
    <w:rsid w:val="00F41C14"/>
    <w:rsid w:val="00F651E3"/>
    <w:rsid w:val="00F71849"/>
    <w:rsid w:val="00F87320"/>
    <w:rsid w:val="00F90BE0"/>
    <w:rsid w:val="00FB37DA"/>
    <w:rsid w:val="00FC26CA"/>
    <w:rsid w:val="00FD00FE"/>
    <w:rsid w:val="00FF4651"/>
    <w:rsid w:val="05CD7983"/>
    <w:rsid w:val="118653AF"/>
    <w:rsid w:val="2FDB0EED"/>
    <w:rsid w:val="3DA4253F"/>
    <w:rsid w:val="592835C7"/>
    <w:rsid w:val="6D535020"/>
    <w:rsid w:val="77D7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145FC1"/>
    <w:rPr>
      <w:rFonts w:ascii="宋体" w:hAnsi="Courier New"/>
      <w:kern w:val="0"/>
      <w:sz w:val="20"/>
      <w:szCs w:val="20"/>
    </w:rPr>
  </w:style>
  <w:style w:type="paragraph" w:styleId="a4">
    <w:name w:val="Balloon Text"/>
    <w:basedOn w:val="a"/>
    <w:link w:val="Char0"/>
    <w:rsid w:val="00145FC1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145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14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14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145FC1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145FC1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rsid w:val="00145FC1"/>
    <w:rPr>
      <w:rFonts w:ascii="宋体" w:eastAsia="宋体" w:hAnsi="Courier New" w:cs="Times New Roman"/>
    </w:rPr>
  </w:style>
  <w:style w:type="character" w:customStyle="1" w:styleId="Char2">
    <w:name w:val="页眉 Char"/>
    <w:basedOn w:val="a0"/>
    <w:link w:val="a6"/>
    <w:rsid w:val="00145FC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145F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4DE619-D73A-4CDF-89C0-5B2FA2D8D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4</Pages>
  <Words>367</Words>
  <Characters>2093</Characters>
  <Application>Microsoft Office Word</Application>
  <DocSecurity>0</DocSecurity>
  <Lines>17</Lines>
  <Paragraphs>4</Paragraphs>
  <ScaleCrop>false</ScaleCrop>
  <Company>China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82</cp:revision>
  <cp:lastPrinted>2018-07-13T13:33:00Z</cp:lastPrinted>
  <dcterms:created xsi:type="dcterms:W3CDTF">2018-06-19T08:12:00Z</dcterms:created>
  <dcterms:modified xsi:type="dcterms:W3CDTF">2018-12-26T03:16:00Z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